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62" w:rsidRDefault="00EE0162" w:rsidP="00507ED0">
      <w:pPr>
        <w:pStyle w:val="normal0"/>
        <w:keepNext/>
        <w:numPr>
          <w:ilvl w:val="3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E7006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5.4pt;height:40.2pt;visibility:visible">
            <v:imagedata r:id="rId5" o:title=""/>
          </v:shape>
        </w:pict>
      </w:r>
    </w:p>
    <w:p w:rsidR="00EE0162" w:rsidRDefault="00EE0162">
      <w:pPr>
        <w:pStyle w:val="normal0"/>
        <w:keepNext/>
        <w:numPr>
          <w:ilvl w:val="3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EE0162" w:rsidRDefault="00EE0162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ЖИРНОВСКИЙ МУНИЦИПАЛЬНЫЙ РАЙОН</w:t>
      </w:r>
    </w:p>
    <w:p w:rsidR="00EE0162" w:rsidRDefault="00EE0162">
      <w:pPr>
        <w:pStyle w:val="normal0"/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БОРОДАЧЕВСКОГО СЕЛЬСКОГО ПОСЕЛЕНИЯ</w:t>
      </w:r>
    </w:p>
    <w:p w:rsidR="00EE0162" w:rsidRDefault="00EE0162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</w:p>
    <w:p w:rsidR="00EE0162" w:rsidRDefault="00EE0162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0162" w:rsidRDefault="00EE0162">
      <w:pPr>
        <w:pStyle w:val="normal0"/>
        <w:keepNext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E0162" w:rsidRDefault="00EE0162">
      <w:pPr>
        <w:pStyle w:val="normal0"/>
        <w:keepNext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03.11.2020 г.         № 34</w:t>
      </w:r>
    </w:p>
    <w:p w:rsidR="00EE0162" w:rsidRDefault="00EE0162">
      <w:pPr>
        <w:pStyle w:val="normal0"/>
        <w:rPr>
          <w:rFonts w:ascii="Arial" w:hAnsi="Arial" w:cs="Arial"/>
          <w:b/>
          <w:bCs/>
          <w:sz w:val="24"/>
          <w:szCs w:val="24"/>
        </w:rPr>
      </w:pPr>
    </w:p>
    <w:p w:rsidR="00EE0162" w:rsidRDefault="00EE0162">
      <w:pPr>
        <w:pStyle w:val="normal0"/>
        <w:jc w:val="center"/>
        <w:rPr>
          <w:rFonts w:ascii="Arial" w:hAnsi="Arial" w:cs="Arial"/>
          <w:color w:val="000000"/>
          <w:sz w:val="24"/>
          <w:szCs w:val="24"/>
        </w:rPr>
      </w:pPr>
    </w:p>
    <w:p w:rsidR="00EE0162" w:rsidRDefault="00EE0162">
      <w:pPr>
        <w:pStyle w:val="normal0"/>
        <w:jc w:val="center"/>
        <w:rPr>
          <w:rFonts w:ascii="Arial" w:hAnsi="Arial" w:cs="Arial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согласовании и утверждении уставов казачьих обществ</w:t>
      </w: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3.2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народов», Федеральным Законом от 06.10.2013 года №131-ФЗ «Об общих принципах организации местного самоуправления в Российской Федерации», Приказом ФАДН России от 06.04.2020 № 45 «Об утверждении Типового положения о согласовании и утверждении уставов казачьих обществ», Уставом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администрация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1. Утвердить Положение о согласовании и утверждении уставов казачьих обществ согласно приложению.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со дня подписания.</w:t>
      </w: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 w:rsidP="00507ED0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  <w:r>
        <w:pict>
          <v:shape id="_x0000_i1026" type="#_x0000_t75" style="width:382.2pt;height:123pt">
            <v:imagedata r:id="rId6" o:title=""/>
          </v:shape>
        </w:pict>
      </w: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от «0</w:t>
      </w:r>
      <w:r w:rsidRPr="004057CF">
        <w:rPr>
          <w:rFonts w:ascii="Times New Roman" w:hAnsi="Times New Roman" w:cs="Times New Roman"/>
          <w:sz w:val="24"/>
          <w:szCs w:val="24"/>
        </w:rPr>
        <w:t>3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» ноября 2020г. № </w:t>
      </w:r>
      <w:r w:rsidRPr="004057CF">
        <w:rPr>
          <w:rFonts w:ascii="Times New Roman" w:hAnsi="Times New Roman" w:cs="Times New Roman"/>
          <w:sz w:val="24"/>
          <w:szCs w:val="24"/>
        </w:rPr>
        <w:t>34</w:t>
      </w: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E0162" w:rsidRPr="004057CF" w:rsidRDefault="00EE0162">
      <w:pPr>
        <w:pStyle w:val="normal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СОГЛАСОВАНИИ И УТВЕРЖДЕНИИ УСТАВОВ КАЗАЧЬИХ ОБЩЕСТВ</w:t>
      </w:r>
    </w:p>
    <w:p w:rsidR="00EE0162" w:rsidRPr="004057CF" w:rsidRDefault="00EE0162">
      <w:pPr>
        <w:pStyle w:val="normal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>
        <w:r w:rsidRPr="004057CF">
          <w:rPr>
            <w:rFonts w:ascii="Times New Roman" w:hAnsi="Times New Roman" w:cs="Times New Roman"/>
            <w:color w:val="000000"/>
            <w:sz w:val="24"/>
            <w:szCs w:val="24"/>
          </w:rPr>
          <w:t>пункте 3.2</w:t>
        </w:r>
      </w:hyperlink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</w:t>
      </w:r>
      <w:bookmarkStart w:id="0" w:name="gjdgxs" w:colFirst="0" w:colLast="0"/>
      <w:bookmarkEnd w:id="0"/>
      <w:r w:rsidRPr="004057CF">
        <w:rPr>
          <w:rFonts w:ascii="Times New Roman" w:hAnsi="Times New Roman" w:cs="Times New Roman"/>
          <w:color w:val="000000"/>
          <w:sz w:val="24"/>
          <w:szCs w:val="24"/>
        </w:rPr>
        <w:t>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2. Уставы хуторских, станичных казачьих обществ, создаваемых (действующих) на территории </w:t>
      </w:r>
      <w:r w:rsidRPr="004057CF">
        <w:rPr>
          <w:rFonts w:ascii="Times New Roman" w:hAnsi="Times New Roman" w:cs="Times New Roman"/>
          <w:sz w:val="24"/>
          <w:szCs w:val="24"/>
        </w:rPr>
        <w:t>Бородачевского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согласовываются с атаманом районного казачьего общества (юртового)</w:t>
      </w:r>
      <w:r w:rsidRPr="004057CF">
        <w:rPr>
          <w:rFonts w:ascii="Times New Roman" w:hAnsi="Times New Roman" w:cs="Times New Roman"/>
          <w:b/>
          <w:bCs/>
          <w:color w:val="5B5E5F"/>
          <w:sz w:val="24"/>
          <w:szCs w:val="24"/>
        </w:rPr>
        <w:t xml:space="preserve"> </w:t>
      </w:r>
      <w:r w:rsidRPr="004057CF">
        <w:rPr>
          <w:rFonts w:ascii="Times New Roman" w:hAnsi="Times New Roman" w:cs="Times New Roman"/>
          <w:b/>
          <w:bCs/>
          <w:color w:val="595959"/>
          <w:sz w:val="24"/>
          <w:szCs w:val="24"/>
        </w:rPr>
        <w:t>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3. Согласование уставов казачьих обществ осуществляется после: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M30j0zll" w:colFirst="0" w:colLast="0"/>
      <w:bookmarkEnd w:id="1"/>
      <w:r w:rsidRPr="004057CF">
        <w:rPr>
          <w:rFonts w:ascii="Times New Roman" w:hAnsi="Times New Roman" w:cs="Times New Roman"/>
          <w:color w:val="000000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M1fob9te" w:colFirst="0" w:colLast="0"/>
      <w:bookmarkEnd w:id="2"/>
      <w:r w:rsidRPr="004057CF">
        <w:rPr>
          <w:rFonts w:ascii="Times New Roman" w:hAnsi="Times New Roman" w:cs="Times New Roman"/>
          <w:color w:val="000000"/>
          <w:sz w:val="24"/>
          <w:szCs w:val="24"/>
        </w:rPr>
        <w:t>в) устав казачьего общества в новой редакции.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M3znysh7" w:colFirst="0" w:colLast="0"/>
      <w:bookmarkEnd w:id="3"/>
      <w:r w:rsidRPr="004057CF">
        <w:rPr>
          <w:rFonts w:ascii="Times New Roman" w:hAnsi="Times New Roman" w:cs="Times New Roman"/>
          <w:color w:val="000000"/>
          <w:sz w:val="24"/>
          <w:szCs w:val="24"/>
        </w:rPr>
        <w:t>в) устав казачьего общества.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атаману районного казачьего общества.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7. Указанные в пунктах 5 и 6</w:t>
      </w:r>
      <w:bookmarkStart w:id="4" w:name="BM2et92p0" w:colFirst="0" w:colLast="0"/>
      <w:bookmarkEnd w:id="4"/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8.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11. Согласование устава казачьего общества оформляется служебным письмом, подписанным непосредственно атаманом районного казачьего общества.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12. Основаниями для отказа в согласовании устава действующего казачьего общества являются: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tyjcwt" w:colFirst="0" w:colLast="0"/>
      <w:bookmarkEnd w:id="5"/>
      <w:r w:rsidRPr="004057CF">
        <w:rPr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13. Основаниями для отказа в согласовании устава создаваемого казачьего общества являются: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14.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7 - 13 настоящего положения.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</w:t>
      </w:r>
      <w:bookmarkStart w:id="6" w:name="BM3dy6vkm" w:colFirst="0" w:colLast="0"/>
      <w:bookmarkEnd w:id="6"/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не ограничено.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15. Уставы хуторских, станичных казачьих обществ, создаваемых (действующих) на территории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утверждаются главой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5B5E5F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16. Утверждение уставов казачьих обществ осуществляется после их согласования атаманом районного казачьего общества ( юртового)</w:t>
      </w:r>
      <w:r w:rsidRPr="004057CF">
        <w:rPr>
          <w:rFonts w:ascii="Times New Roman" w:hAnsi="Times New Roman" w:cs="Times New Roman"/>
          <w:b/>
          <w:bCs/>
          <w:color w:val="5B5E5F"/>
          <w:sz w:val="24"/>
          <w:szCs w:val="24"/>
        </w:rPr>
        <w:t xml:space="preserve">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bookmarkStart w:id="7" w:name="BM1t3h5sf" w:colFirst="0" w:colLast="0"/>
      <w:bookmarkEnd w:id="7"/>
      <w:r w:rsidRPr="004057CF">
        <w:rPr>
          <w:rFonts w:ascii="Times New Roman" w:hAnsi="Times New Roman" w:cs="Times New Roman"/>
          <w:b/>
          <w:bCs/>
          <w:color w:val="5B5E5F"/>
          <w:sz w:val="24"/>
          <w:szCs w:val="24"/>
        </w:rPr>
        <w:t xml:space="preserve"> 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Pr="004057CF">
        <w:rPr>
          <w:rFonts w:ascii="Times New Roman" w:hAnsi="Times New Roman" w:cs="Times New Roman"/>
          <w:sz w:val="24"/>
          <w:szCs w:val="24"/>
        </w:rPr>
        <w:t>Бородачевского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в) копии писем о согласовании устава казачьего общества атаманом районного казачьего общества(юртового) </w:t>
      </w:r>
      <w:r w:rsidRPr="004057CF">
        <w:rPr>
          <w:rFonts w:ascii="Times New Roman" w:hAnsi="Times New Roman" w:cs="Times New Roman"/>
          <w:b/>
          <w:bCs/>
          <w:color w:val="5B5E5F"/>
          <w:sz w:val="24"/>
          <w:szCs w:val="24"/>
        </w:rPr>
        <w:t>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BM4d34og8" w:colFirst="0" w:colLast="0"/>
      <w:bookmarkEnd w:id="8"/>
      <w:r w:rsidRPr="004057CF">
        <w:rPr>
          <w:rFonts w:ascii="Times New Roman" w:hAnsi="Times New Roman" w:cs="Times New Roman"/>
          <w:color w:val="000000"/>
          <w:sz w:val="24"/>
          <w:szCs w:val="24"/>
        </w:rPr>
        <w:t>г) устав казачьего общества на бумажном носителе и в электронном виде.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Pr="004057CF">
        <w:rPr>
          <w:rFonts w:ascii="Times New Roman" w:hAnsi="Times New Roman" w:cs="Times New Roman"/>
          <w:sz w:val="24"/>
          <w:szCs w:val="24"/>
        </w:rPr>
        <w:t>Бородачевского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в) копии писем о согласовании устава казачьего общества атаманом районного казачьего общества( юртового) </w:t>
      </w:r>
      <w:r w:rsidRPr="004057CF">
        <w:rPr>
          <w:rFonts w:ascii="Times New Roman" w:hAnsi="Times New Roman" w:cs="Times New Roman"/>
          <w:b/>
          <w:bCs/>
          <w:color w:val="5B5E5F"/>
          <w:sz w:val="24"/>
          <w:szCs w:val="24"/>
        </w:rPr>
        <w:t>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BM2s8eyo1" w:colFirst="0" w:colLast="0"/>
      <w:bookmarkEnd w:id="9"/>
      <w:r w:rsidRPr="004057CF">
        <w:rPr>
          <w:rFonts w:ascii="Times New Roman" w:hAnsi="Times New Roman" w:cs="Times New Roman"/>
          <w:color w:val="000000"/>
          <w:sz w:val="24"/>
          <w:szCs w:val="24"/>
        </w:rPr>
        <w:t>г) устав казачьего общества на бумажном носителе и в электронном виде.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19. Указанные в пунктах 17 и 18</w:t>
      </w:r>
      <w:bookmarkStart w:id="10" w:name="BM17dp8vu" w:colFirst="0" w:colLast="0"/>
      <w:bookmarkEnd w:id="10"/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bookmarkStart w:id="11" w:name="BM3rdcrjn" w:colFirst="0" w:colLast="0"/>
      <w:bookmarkEnd w:id="11"/>
      <w:r w:rsidRPr="004057CF">
        <w:rPr>
          <w:rFonts w:ascii="Times New Roman" w:hAnsi="Times New Roman" w:cs="Times New Roman"/>
          <w:color w:val="000000"/>
          <w:sz w:val="24"/>
          <w:szCs w:val="24"/>
        </w:rPr>
        <w:t>, в течение 30 календарных дней со дня поступления указанных документов.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23. Утверждение устава казачьего общества оформляется правовым актом главой </w:t>
      </w:r>
      <w:r w:rsidRPr="004057CF">
        <w:rPr>
          <w:rFonts w:ascii="Times New Roman" w:hAnsi="Times New Roman" w:cs="Times New Roman"/>
          <w:sz w:val="24"/>
          <w:szCs w:val="24"/>
        </w:rPr>
        <w:t>Бородачевского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21 настоящего положения.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24. На титульном листе утверждаемого устава казачьего общества рекомендуется указывать: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25. Основаниями для отказа в утверждении устава действующего казачьего общества являются: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BM26in1rg" w:colFirst="0" w:colLast="0"/>
      <w:bookmarkEnd w:id="12"/>
      <w:r w:rsidRPr="004057CF">
        <w:rPr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26. Основаниями для отказа в утверждении устава создаваемого казачьего общества являются: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 xml:space="preserve">27. Отказ в утверждении устава казачьего общества не является препятствием для повторного направления главе </w:t>
      </w:r>
      <w:r w:rsidRPr="004057CF">
        <w:rPr>
          <w:rFonts w:ascii="Times New Roman" w:hAnsi="Times New Roman" w:cs="Times New Roman"/>
          <w:sz w:val="24"/>
          <w:szCs w:val="24"/>
        </w:rPr>
        <w:t xml:space="preserve">Бородачевского </w:t>
      </w:r>
      <w:r w:rsidRPr="004057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19 - 26 настоящего положения.</w:t>
      </w:r>
    </w:p>
    <w:p w:rsidR="00EE0162" w:rsidRPr="004057CF" w:rsidRDefault="00EE016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о согласовании и утверждении</w:t>
      </w:r>
    </w:p>
    <w:p w:rsidR="00EE0162" w:rsidRPr="004057CF" w:rsidRDefault="00EE0162">
      <w:pPr>
        <w:pStyle w:val="normal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уставов казачьих обществ</w:t>
      </w:r>
    </w:p>
    <w:p w:rsidR="00EE0162" w:rsidRPr="004057CF" w:rsidRDefault="00EE016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lnxbz9" w:colFirst="0" w:colLast="0"/>
      <w:bookmarkEnd w:id="13"/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ОБРАЗЕЦ</w:t>
      </w:r>
    </w:p>
    <w:p w:rsidR="00EE0162" w:rsidRPr="004057CF" w:rsidRDefault="00EE0162">
      <w:pPr>
        <w:pStyle w:val="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57CF">
        <w:rPr>
          <w:rFonts w:ascii="Times New Roman" w:hAnsi="Times New Roman" w:cs="Times New Roman"/>
          <w:color w:val="000000"/>
          <w:sz w:val="24"/>
          <w:szCs w:val="24"/>
        </w:rPr>
        <w:t>ТИТУЛЬНОГО ЛИСТА УСТАВА КАЗАЧЬЕГО ОБЩЕСТВА</w:t>
      </w:r>
    </w:p>
    <w:p w:rsidR="00EE0162" w:rsidRPr="004057CF" w:rsidRDefault="00EE016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6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ФАДН России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</w:tcPr>
          <w:p w:rsidR="00EE0162" w:rsidRPr="004057CF" w:rsidRDefault="00EE0162" w:rsidP="005314A0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</w:tcPr>
          <w:p w:rsidR="00EE0162" w:rsidRPr="004057CF" w:rsidRDefault="00EE0162" w:rsidP="005314A0">
            <w:pPr>
              <w:pStyle w:val="normal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  <w:vAlign w:val="center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  <w:vAlign w:val="center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  <w:tr w:rsidR="00EE0162" w:rsidRPr="004057CF">
        <w:tc>
          <w:tcPr>
            <w:tcW w:w="4648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0162" w:rsidRPr="004057CF" w:rsidRDefault="00EE016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E0162" w:rsidRPr="004057CF">
        <w:tc>
          <w:tcPr>
            <w:tcW w:w="9070" w:type="dxa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</w:t>
            </w:r>
          </w:p>
        </w:tc>
      </w:tr>
      <w:tr w:rsidR="00EE0162" w:rsidRPr="004057CF">
        <w:tc>
          <w:tcPr>
            <w:tcW w:w="9070" w:type="dxa"/>
            <w:tcBorders>
              <w:bottom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9070" w:type="dxa"/>
            <w:tcBorders>
              <w:top w:val="single" w:sz="4" w:space="0" w:color="000000"/>
            </w:tcBorders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EE0162" w:rsidRPr="004057CF">
        <w:tc>
          <w:tcPr>
            <w:tcW w:w="9070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9070" w:type="dxa"/>
          </w:tcPr>
          <w:p w:rsidR="00EE0162" w:rsidRPr="004057CF" w:rsidRDefault="00EE0162" w:rsidP="005314A0">
            <w:pPr>
              <w:pStyle w:val="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162" w:rsidRPr="004057CF">
        <w:tc>
          <w:tcPr>
            <w:tcW w:w="9070" w:type="dxa"/>
          </w:tcPr>
          <w:p w:rsidR="00EE0162" w:rsidRPr="004057CF" w:rsidRDefault="00EE0162" w:rsidP="005314A0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 год</w:t>
            </w:r>
          </w:p>
        </w:tc>
      </w:tr>
    </w:tbl>
    <w:p w:rsidR="00EE0162" w:rsidRPr="004057CF" w:rsidRDefault="00EE0162">
      <w:pPr>
        <w:pStyle w:val="normal0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0162" w:rsidRPr="004057CF" w:rsidSect="009248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AD3"/>
    <w:multiLevelType w:val="multilevel"/>
    <w:tmpl w:val="FFFFFFFF"/>
    <w:lvl w:ilvl="0">
      <w:start w:val="1"/>
      <w:numFmt w:val="decimal"/>
      <w:lvlText w:val=""/>
      <w:lvlJc w:val="left"/>
      <w:rPr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E6"/>
    <w:rsid w:val="003600B5"/>
    <w:rsid w:val="004057CF"/>
    <w:rsid w:val="00507ED0"/>
    <w:rsid w:val="005314A0"/>
    <w:rsid w:val="007A448E"/>
    <w:rsid w:val="007E7006"/>
    <w:rsid w:val="009248E6"/>
    <w:rsid w:val="00EE0162"/>
    <w:rsid w:val="00F01703"/>
    <w:rsid w:val="00F8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06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248E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248E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248E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248E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248E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248E6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9248E6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9248E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248E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table" w:customStyle="1" w:styleId="a">
    <w:name w:val="Стиль"/>
    <w:uiPriority w:val="99"/>
    <w:rsid w:val="009248E6"/>
    <w:rPr>
      <w:sz w:val="20"/>
      <w:szCs w:val="20"/>
    </w:r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">
    <w:name w:val="Стиль1"/>
    <w:uiPriority w:val="99"/>
    <w:rsid w:val="009248E6"/>
    <w:rPr>
      <w:sz w:val="20"/>
      <w:szCs w:val="20"/>
    </w:r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2419</Words>
  <Characters>13793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</dc:creator>
  <cp:keywords/>
  <dc:description/>
  <cp:lastModifiedBy>______</cp:lastModifiedBy>
  <cp:revision>3</cp:revision>
  <dcterms:created xsi:type="dcterms:W3CDTF">2020-11-23T06:09:00Z</dcterms:created>
  <dcterms:modified xsi:type="dcterms:W3CDTF">2020-11-23T07:41:00Z</dcterms:modified>
</cp:coreProperties>
</file>